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1A0CDB07" w:rsidR="006D2440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7A3B6232" w14:textId="20B4D20D" w:rsidR="00C76D1D" w:rsidRPr="00C76D1D" w:rsidRDefault="00C76D1D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i/>
          <w:iCs/>
          <w:color w:val="00B050"/>
          <w:sz w:val="24"/>
          <w:szCs w:val="24"/>
        </w:rPr>
      </w:pPr>
      <w:r w:rsidRPr="00C76D1D">
        <w:rPr>
          <w:rFonts w:ascii="Bookman Old Style" w:hAnsi="Bookman Old Style"/>
          <w:i/>
          <w:iCs/>
          <w:color w:val="00B050"/>
          <w:sz w:val="24"/>
          <w:szCs w:val="24"/>
        </w:rPr>
        <w:t>Opisane wymagania w obszarze objętym ograniczeniami I dotyczą gospodarstw, które będą przemieszczały świnie poza obszar kraju.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A862" w14:textId="77777777" w:rsidR="009D5F8A" w:rsidRDefault="009D5F8A" w:rsidP="000E0C8A">
      <w:pPr>
        <w:spacing w:after="0" w:line="240" w:lineRule="auto"/>
      </w:pPr>
      <w:r>
        <w:separator/>
      </w:r>
    </w:p>
  </w:endnote>
  <w:endnote w:type="continuationSeparator" w:id="0">
    <w:p w14:paraId="0F9EC50B" w14:textId="77777777" w:rsidR="009D5F8A" w:rsidRDefault="009D5F8A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61BF" w14:textId="77777777" w:rsidR="009D5F8A" w:rsidRDefault="009D5F8A" w:rsidP="000E0C8A">
      <w:pPr>
        <w:spacing w:after="0" w:line="240" w:lineRule="auto"/>
      </w:pPr>
      <w:r>
        <w:separator/>
      </w:r>
    </w:p>
  </w:footnote>
  <w:footnote w:type="continuationSeparator" w:id="0">
    <w:p w14:paraId="1273E131" w14:textId="77777777" w:rsidR="009D5F8A" w:rsidRDefault="009D5F8A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D5F8A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76D1D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Izabela Smulska</cp:lastModifiedBy>
  <cp:revision>3</cp:revision>
  <cp:lastPrinted>2021-04-20T08:42:00Z</cp:lastPrinted>
  <dcterms:created xsi:type="dcterms:W3CDTF">2021-10-13T13:07:00Z</dcterms:created>
  <dcterms:modified xsi:type="dcterms:W3CDTF">2021-10-21T07:30:00Z</dcterms:modified>
</cp:coreProperties>
</file>